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090613" cy="108334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0613" cy="10833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2019-2020 Miami Beach Senior High School Homecoming Court Application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Name: ____________________________ ID#___________________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Email: ____________________________ Cell Number: _______________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GRADE_______ GENDER______________ GPA (unweighted): 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Qualifications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-Must have at least a 2.0 unweighted GPA.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-You can’t have more than 10 unexcused absences or 20 unexcused tardies.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-Must have at least 10 hours of community service turned in. (Freshmen Exempt)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RULES 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Application due by October 18th 2019 by 2:20pm. NO LATE APPLICATIONS WILL BE ACCEPTED.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-Submit application to Ms. Mac – Room 103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-Campaigning may run from Oct 21st to Oct 25th 2019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-Campaigning may not be done during class.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-Posters may be put in any authorized place (including bulletin boards) They MUST BE REMOVED BY October 28th by 2:20pm.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-All posters and flyers must be approved and signed by the Activities Director, Ms. Mac (Room 103 in the Main Office).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- Stickers and pins are the only free campaign giveaway permitted. (No food, flyers, money, etc.) -Candidates may not spend more than $50 on posters and advertisements.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-You may only apply for your corresponding graduation year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-Negative Campaigning will not be tolerated and automatically disqualify a candidate.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-Anyone who violates the above mentioned rules will be disqualified.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TEACHER RECOMMENDATION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Below have a teacher confirm that you are a good candidate for Homecoming Court.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Teacher Name: ______________________ Teacher Signature: ________________________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STUDENT AND PARENT APPROVAL I hereby affirm that I will follow all Homecoming Court rules and regulations.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Student Signature: _____________________ Parent Signature:_______________________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